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0" w:rsidRDefault="000E03A0" w:rsidP="000E03A0">
      <w:pPr>
        <w:pStyle w:val="1"/>
        <w:jc w:val="center"/>
      </w:pPr>
      <w:r w:rsidRPr="00DA4683"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 wp14:anchorId="5116F08B" wp14:editId="7816DFC1">
            <wp:extent cx="699770" cy="796290"/>
            <wp:effectExtent l="19050" t="0" r="5080" b="0"/>
            <wp:docPr id="1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3A0" w:rsidRPr="00194AA2" w:rsidRDefault="000E03A0" w:rsidP="000E03A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94AA2"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0E03A0" w:rsidRPr="00E41566" w:rsidRDefault="000E03A0" w:rsidP="000E03A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194AA2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0E03A0" w:rsidRPr="00E41566" w:rsidRDefault="000E03A0" w:rsidP="000E03A0">
      <w:pPr>
        <w:pStyle w:val="1"/>
        <w:jc w:val="center"/>
        <w:rPr>
          <w:rFonts w:ascii="Times New Roman" w:hAnsi="Times New Roman"/>
        </w:rPr>
      </w:pPr>
      <w:proofErr w:type="gramStart"/>
      <w:r w:rsidRPr="00E41566">
        <w:rPr>
          <w:rFonts w:ascii="Times New Roman" w:hAnsi="Times New Roman"/>
        </w:rPr>
        <w:t>Р</w:t>
      </w:r>
      <w:proofErr w:type="gramEnd"/>
      <w:r w:rsidRPr="00E41566">
        <w:rPr>
          <w:rFonts w:ascii="Times New Roman" w:hAnsi="Times New Roman"/>
        </w:rPr>
        <w:t xml:space="preserve"> Е Ш Е Н И Е</w:t>
      </w:r>
    </w:p>
    <w:p w:rsidR="000E03A0" w:rsidRDefault="000E03A0" w:rsidP="000E03A0"/>
    <w:p w:rsidR="000E03A0" w:rsidRPr="00B77E1F" w:rsidRDefault="000E03A0" w:rsidP="000E03A0"/>
    <w:p w:rsidR="000E03A0" w:rsidRDefault="000E03A0" w:rsidP="000E03A0">
      <w:pPr>
        <w:ind w:firstLine="567"/>
        <w:jc w:val="both"/>
        <w:rPr>
          <w:sz w:val="24"/>
          <w:u w:val="single"/>
        </w:rPr>
      </w:pPr>
    </w:p>
    <w:p w:rsidR="000E03A0" w:rsidRDefault="000E03A0" w:rsidP="000E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25 » марта 2024</w:t>
      </w:r>
      <w:r w:rsidRPr="004C2C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№ 10</w:t>
      </w:r>
    </w:p>
    <w:p w:rsidR="000E03A0" w:rsidRDefault="000E03A0" w:rsidP="000E03A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E03A0" w:rsidTr="00D423D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03A0" w:rsidRDefault="000E03A0" w:rsidP="00D4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Прогнозного плана приватизации объектов муниципальной</w:t>
            </w:r>
          </w:p>
          <w:p w:rsidR="000E03A0" w:rsidRDefault="000E03A0" w:rsidP="00D4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собственности Каменского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2024 год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E03A0" w:rsidRDefault="000E03A0" w:rsidP="00D423D3">
            <w:pPr>
              <w:jc w:val="both"/>
              <w:rPr>
                <w:sz w:val="28"/>
                <w:szCs w:val="28"/>
              </w:rPr>
            </w:pPr>
          </w:p>
        </w:tc>
      </w:tr>
    </w:tbl>
    <w:p w:rsidR="000E03A0" w:rsidRPr="004C2C07" w:rsidRDefault="000E03A0" w:rsidP="000E03A0">
      <w:pPr>
        <w:jc w:val="both"/>
        <w:rPr>
          <w:sz w:val="28"/>
          <w:szCs w:val="28"/>
        </w:rPr>
      </w:pPr>
    </w:p>
    <w:p w:rsidR="000E03A0" w:rsidRDefault="000E03A0" w:rsidP="000E03A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использования муниципальной собственности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3926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</w:t>
      </w:r>
      <w:r w:rsidRPr="0039267E"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</w:t>
      </w:r>
      <w:r w:rsidRPr="0039267E">
        <w:rPr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руководствуясь решением Совета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от 11.11.2011 № 41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Каменского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E03A0" w:rsidRDefault="000E03A0" w:rsidP="000E03A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0E03A0" w:rsidRPr="00292994" w:rsidRDefault="000E03A0" w:rsidP="000E03A0">
      <w:pPr>
        <w:ind w:firstLine="709"/>
        <w:jc w:val="both"/>
        <w:rPr>
          <w:b/>
        </w:rPr>
      </w:pPr>
    </w:p>
    <w:p w:rsidR="000E03A0" w:rsidRDefault="000E03A0" w:rsidP="000E03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Прогнозный план приватизации объектов муниципальной собственности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на 2024 год.</w:t>
      </w:r>
    </w:p>
    <w:p w:rsidR="000E03A0" w:rsidRDefault="000E03A0" w:rsidP="000E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 xml:space="preserve">на официальном сайте Администрации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E03A0" w:rsidRDefault="000E03A0" w:rsidP="000E03A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E03A0" w:rsidTr="00D423D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03A0" w:rsidRDefault="000E03A0" w:rsidP="00D423D3">
            <w:pPr>
              <w:ind w:right="-2"/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Глава муниципального образования</w:t>
            </w:r>
          </w:p>
          <w:p w:rsidR="000E03A0" w:rsidRDefault="000E03A0" w:rsidP="00D423D3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Каменского сельского поселения</w:t>
            </w:r>
          </w:p>
          <w:p w:rsidR="000E03A0" w:rsidRDefault="000E03A0" w:rsidP="00D423D3">
            <w:pPr>
              <w:jc w:val="both"/>
              <w:rPr>
                <w:b/>
                <w:bCs/>
                <w:sz w:val="28"/>
                <w:szCs w:val="24"/>
              </w:rPr>
            </w:pPr>
            <w:proofErr w:type="spellStart"/>
            <w:r>
              <w:rPr>
                <w:bCs/>
                <w:sz w:val="28"/>
                <w:szCs w:val="24"/>
              </w:rPr>
              <w:t>Кардымовского</w:t>
            </w:r>
            <w:proofErr w:type="spellEnd"/>
            <w:r>
              <w:rPr>
                <w:bCs/>
                <w:sz w:val="28"/>
                <w:szCs w:val="24"/>
              </w:rPr>
              <w:t xml:space="preserve"> района Смоленской </w:t>
            </w:r>
            <w:r w:rsidRPr="009F7F8B">
              <w:rPr>
                <w:bCs/>
                <w:sz w:val="28"/>
                <w:szCs w:val="24"/>
              </w:rPr>
              <w:t xml:space="preserve">области                             </w:t>
            </w:r>
            <w:r>
              <w:rPr>
                <w:bCs/>
                <w:sz w:val="28"/>
                <w:szCs w:val="24"/>
              </w:rPr>
              <w:t xml:space="preserve">   </w:t>
            </w:r>
          </w:p>
          <w:p w:rsidR="000E03A0" w:rsidRDefault="000E03A0" w:rsidP="00D423D3">
            <w:pPr>
              <w:ind w:right="-2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E03A0" w:rsidRDefault="000E03A0" w:rsidP="00D423D3">
            <w:pPr>
              <w:ind w:right="-2"/>
              <w:jc w:val="both"/>
              <w:rPr>
                <w:b/>
                <w:bCs/>
                <w:sz w:val="28"/>
                <w:szCs w:val="24"/>
              </w:rPr>
            </w:pPr>
          </w:p>
          <w:p w:rsidR="000E03A0" w:rsidRDefault="000E03A0" w:rsidP="00D423D3">
            <w:pPr>
              <w:ind w:right="-2"/>
              <w:jc w:val="both"/>
              <w:rPr>
                <w:b/>
                <w:bCs/>
                <w:sz w:val="28"/>
                <w:szCs w:val="24"/>
              </w:rPr>
            </w:pPr>
          </w:p>
          <w:p w:rsidR="000E03A0" w:rsidRDefault="000E03A0" w:rsidP="00D423D3">
            <w:pPr>
              <w:ind w:right="-2"/>
              <w:jc w:val="both"/>
              <w:rPr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                        </w:t>
            </w:r>
            <w:proofErr w:type="spellStart"/>
            <w:r w:rsidRPr="009E7C8D">
              <w:rPr>
                <w:b/>
                <w:bCs/>
                <w:sz w:val="28"/>
                <w:szCs w:val="24"/>
              </w:rPr>
              <w:t>В.П.Шевелева</w:t>
            </w:r>
            <w:proofErr w:type="spellEnd"/>
          </w:p>
        </w:tc>
      </w:tr>
    </w:tbl>
    <w:p w:rsidR="000E03A0" w:rsidRDefault="000E03A0" w:rsidP="000E03A0">
      <w:pPr>
        <w:jc w:val="both"/>
        <w:rPr>
          <w:b/>
          <w:bCs/>
          <w:sz w:val="28"/>
          <w:szCs w:val="24"/>
        </w:rPr>
      </w:pPr>
    </w:p>
    <w:p w:rsidR="000E03A0" w:rsidRDefault="000E03A0" w:rsidP="000E03A0">
      <w:pPr>
        <w:jc w:val="both"/>
        <w:rPr>
          <w:b/>
          <w:bCs/>
          <w:sz w:val="28"/>
          <w:szCs w:val="24"/>
        </w:rPr>
      </w:pPr>
    </w:p>
    <w:p w:rsidR="000E03A0" w:rsidRDefault="000E03A0" w:rsidP="000E03A0">
      <w:pPr>
        <w:jc w:val="both"/>
        <w:rPr>
          <w:b/>
          <w:bCs/>
          <w:sz w:val="28"/>
          <w:szCs w:val="24"/>
        </w:rPr>
      </w:pPr>
    </w:p>
    <w:p w:rsidR="000E03A0" w:rsidRDefault="000E03A0" w:rsidP="000E03A0">
      <w:pPr>
        <w:jc w:val="both"/>
        <w:rPr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03A0" w:rsidTr="00D423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03A0" w:rsidRDefault="000E03A0" w:rsidP="00D42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03A0" w:rsidRPr="00A06E30" w:rsidRDefault="000E03A0" w:rsidP="00D42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Совета депутатов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25.03.2024 № 10</w:t>
            </w:r>
          </w:p>
        </w:tc>
      </w:tr>
    </w:tbl>
    <w:p w:rsidR="000E03A0" w:rsidRDefault="000E03A0" w:rsidP="000E03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03A0" w:rsidRDefault="000E03A0" w:rsidP="000E0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59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0E03A0" w:rsidRPr="00F07137" w:rsidRDefault="000E03A0" w:rsidP="000E03A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F07137">
        <w:rPr>
          <w:b/>
          <w:sz w:val="28"/>
          <w:szCs w:val="28"/>
        </w:rPr>
        <w:t xml:space="preserve">объектов муниципальной собственности Каменского сельского поселения </w:t>
      </w:r>
      <w:proofErr w:type="spellStart"/>
      <w:r w:rsidRPr="00F07137">
        <w:rPr>
          <w:b/>
          <w:sz w:val="28"/>
          <w:szCs w:val="28"/>
        </w:rPr>
        <w:t>Кардымовского</w:t>
      </w:r>
      <w:proofErr w:type="spellEnd"/>
      <w:r w:rsidRPr="00F07137">
        <w:rPr>
          <w:b/>
          <w:sz w:val="28"/>
          <w:szCs w:val="28"/>
        </w:rPr>
        <w:t xml:space="preserve"> района Смоленской области на 2024 год.</w:t>
      </w:r>
    </w:p>
    <w:p w:rsidR="000E03A0" w:rsidRPr="00AC6659" w:rsidRDefault="000E03A0" w:rsidP="000E0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3A0" w:rsidRPr="00E41566" w:rsidRDefault="000E03A0" w:rsidP="000E03A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Общие положения </w:t>
      </w:r>
    </w:p>
    <w:p w:rsidR="000E03A0" w:rsidRPr="00E41566" w:rsidRDefault="000E03A0" w:rsidP="000E03A0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Style w:val="a5"/>
          <w:rFonts w:ascii="Times New Roman" w:hAnsi="Times New Roman" w:cs="Times New Roman"/>
        </w:rPr>
        <w:t> </w:t>
      </w:r>
    </w:p>
    <w:p w:rsidR="000E03A0" w:rsidRPr="00E41566" w:rsidRDefault="000E03A0" w:rsidP="000E03A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41566">
        <w:rPr>
          <w:sz w:val="28"/>
          <w:szCs w:val="28"/>
        </w:rPr>
        <w:t xml:space="preserve">Прогнозный план приватизации объектов муниципальной собственности Каменского сельского поселения </w:t>
      </w:r>
      <w:proofErr w:type="spellStart"/>
      <w:r w:rsidRPr="00E41566">
        <w:rPr>
          <w:sz w:val="28"/>
          <w:szCs w:val="28"/>
        </w:rPr>
        <w:t>Кардымовского</w:t>
      </w:r>
      <w:proofErr w:type="spellEnd"/>
      <w:r w:rsidRPr="00E41566">
        <w:rPr>
          <w:sz w:val="28"/>
          <w:szCs w:val="28"/>
        </w:rPr>
        <w:t xml:space="preserve"> района Смоленской области на 2024 год (далее – план приватизации)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Каменского сельского поселения </w:t>
      </w:r>
      <w:proofErr w:type="spellStart"/>
      <w:r w:rsidRPr="00E41566">
        <w:rPr>
          <w:sz w:val="28"/>
          <w:szCs w:val="28"/>
        </w:rPr>
        <w:t>Кардымовского</w:t>
      </w:r>
      <w:proofErr w:type="spellEnd"/>
      <w:r w:rsidRPr="00E41566">
        <w:rPr>
          <w:sz w:val="28"/>
          <w:szCs w:val="28"/>
        </w:rPr>
        <w:t xml:space="preserve"> района Смоленской области</w:t>
      </w:r>
      <w:proofErr w:type="gramEnd"/>
      <w:r w:rsidRPr="00E41566">
        <w:rPr>
          <w:sz w:val="28"/>
          <w:szCs w:val="28"/>
        </w:rPr>
        <w:t xml:space="preserve"> на 2024 год, утвержденным решением Совета депутатов Каменского сельского поселения </w:t>
      </w:r>
      <w:proofErr w:type="spellStart"/>
      <w:r w:rsidRPr="00E41566">
        <w:rPr>
          <w:sz w:val="28"/>
          <w:szCs w:val="28"/>
        </w:rPr>
        <w:t>Кардымовского</w:t>
      </w:r>
      <w:proofErr w:type="spellEnd"/>
      <w:r w:rsidRPr="00E41566">
        <w:rPr>
          <w:sz w:val="28"/>
          <w:szCs w:val="28"/>
        </w:rPr>
        <w:t xml:space="preserve"> района Смоленской области от 11.11.2011 № 41.</w:t>
      </w:r>
    </w:p>
    <w:p w:rsidR="000E03A0" w:rsidRPr="00E41566" w:rsidRDefault="000E03A0" w:rsidP="000E03A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566">
        <w:rPr>
          <w:rFonts w:ascii="Times New Roman" w:hAnsi="Times New Roman" w:cs="Times New Roman"/>
          <w:b w:val="0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 образования Каменского сельского поселения </w:t>
      </w:r>
      <w:proofErr w:type="spellStart"/>
      <w:r w:rsidRPr="00E41566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E4156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E41566">
        <w:rPr>
          <w:rFonts w:ascii="Times New Roman" w:hAnsi="Times New Roman" w:cs="Times New Roman"/>
          <w:sz w:val="28"/>
          <w:szCs w:val="28"/>
        </w:rPr>
        <w:t xml:space="preserve"> </w:t>
      </w:r>
      <w:r w:rsidRPr="00E41566">
        <w:rPr>
          <w:rFonts w:ascii="Times New Roman" w:hAnsi="Times New Roman" w:cs="Times New Roman"/>
          <w:b w:val="0"/>
          <w:sz w:val="28"/>
          <w:szCs w:val="28"/>
        </w:rPr>
        <w:t xml:space="preserve">и обеспечение информационной прозрачности приватизации имущества. 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3A0" w:rsidRPr="00E41566" w:rsidRDefault="000E03A0" w:rsidP="000E03A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 Перечень объектов  муниципальной собственности Каменского сельского поселения </w:t>
      </w:r>
      <w:proofErr w:type="spellStart"/>
      <w:r w:rsidRPr="00E41566">
        <w:rPr>
          <w:rFonts w:ascii="Times New Roman" w:hAnsi="Times New Roman" w:cs="Times New Roman"/>
          <w:b/>
          <w:sz w:val="28"/>
          <w:szCs w:val="28"/>
          <w:lang w:val="ru-RU"/>
        </w:rPr>
        <w:t>Кардымовского</w:t>
      </w:r>
      <w:proofErr w:type="spellEnd"/>
      <w:r w:rsidRPr="00E41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Смоленской области, подлежащих приватизации в 2024 году</w:t>
      </w: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552"/>
        <w:gridCol w:w="2409"/>
      </w:tblGrid>
      <w:tr w:rsidR="000E03A0" w:rsidRPr="00E41566" w:rsidTr="00D423D3">
        <w:trPr>
          <w:trHeight w:val="551"/>
        </w:trPr>
        <w:tc>
          <w:tcPr>
            <w:tcW w:w="534" w:type="dxa"/>
          </w:tcPr>
          <w:p w:rsidR="000E03A0" w:rsidRPr="00E41566" w:rsidRDefault="000E03A0" w:rsidP="00D423D3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0E03A0" w:rsidRPr="00E41566" w:rsidRDefault="000E03A0" w:rsidP="00D423D3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E03A0" w:rsidRPr="00E41566" w:rsidRDefault="000E03A0" w:rsidP="00D423D3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объекта, основные характеристики </w:t>
            </w:r>
          </w:p>
        </w:tc>
        <w:tc>
          <w:tcPr>
            <w:tcW w:w="2552" w:type="dxa"/>
          </w:tcPr>
          <w:p w:rsidR="000E03A0" w:rsidRPr="00E41566" w:rsidRDefault="000E03A0" w:rsidP="00D423D3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</w:tcPr>
          <w:p w:rsidR="000E03A0" w:rsidRPr="00E41566" w:rsidRDefault="000E03A0" w:rsidP="00D423D3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0E03A0" w:rsidRPr="00E41566" w:rsidTr="00D423D3">
        <w:tc>
          <w:tcPr>
            <w:tcW w:w="534" w:type="dxa"/>
          </w:tcPr>
          <w:p w:rsidR="000E03A0" w:rsidRPr="00E41566" w:rsidRDefault="000E03A0" w:rsidP="00D423D3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E03A0" w:rsidRPr="00E41566" w:rsidRDefault="000E03A0" w:rsidP="00D423D3">
            <w:pPr>
              <w:tabs>
                <w:tab w:val="left" w:pos="1005"/>
              </w:tabs>
              <w:rPr>
                <w:sz w:val="24"/>
                <w:szCs w:val="24"/>
              </w:rPr>
            </w:pPr>
            <w:bookmarkStart w:id="1" w:name="_Hlk132882811"/>
            <w:r w:rsidRPr="00E41566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E41566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E41566">
              <w:rPr>
                <w:sz w:val="22"/>
                <w:szCs w:val="22"/>
              </w:rPr>
              <w:t xml:space="preserve"> </w:t>
            </w:r>
            <w:proofErr w:type="spellStart"/>
            <w:r w:rsidRPr="00E41566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E41566">
              <w:rPr>
                <w:sz w:val="22"/>
                <w:szCs w:val="22"/>
              </w:rPr>
              <w:t xml:space="preserve">, гос. номер </w:t>
            </w:r>
            <w:r w:rsidRPr="00E41566">
              <w:rPr>
                <w:sz w:val="22"/>
                <w:szCs w:val="22"/>
                <w:lang w:val="en-US"/>
              </w:rPr>
              <w:t>A</w:t>
            </w:r>
            <w:r w:rsidRPr="00E41566">
              <w:rPr>
                <w:sz w:val="22"/>
                <w:szCs w:val="22"/>
              </w:rPr>
              <w:t xml:space="preserve"> 043 </w:t>
            </w:r>
            <w:r w:rsidRPr="00E41566">
              <w:rPr>
                <w:sz w:val="22"/>
                <w:szCs w:val="22"/>
                <w:lang w:val="en-US"/>
              </w:rPr>
              <w:t>KE</w:t>
            </w:r>
            <w:r w:rsidRPr="00E41566">
              <w:rPr>
                <w:sz w:val="22"/>
                <w:szCs w:val="22"/>
              </w:rPr>
              <w:t xml:space="preserve"> 67, год выпуска 2018 г., идентификационный номер X</w:t>
            </w:r>
            <w:r w:rsidRPr="00E41566">
              <w:rPr>
                <w:sz w:val="22"/>
                <w:szCs w:val="22"/>
                <w:lang w:val="en-US"/>
              </w:rPr>
              <w:t>TA</w:t>
            </w:r>
            <w:r w:rsidRPr="00E41566">
              <w:rPr>
                <w:sz w:val="22"/>
                <w:szCs w:val="22"/>
              </w:rPr>
              <w:t>219010</w:t>
            </w:r>
            <w:r w:rsidRPr="00E41566">
              <w:rPr>
                <w:sz w:val="22"/>
                <w:szCs w:val="22"/>
                <w:lang w:val="en-US"/>
              </w:rPr>
              <w:t>J</w:t>
            </w:r>
            <w:r w:rsidRPr="00E41566">
              <w:rPr>
                <w:sz w:val="22"/>
                <w:szCs w:val="22"/>
              </w:rPr>
              <w:t xml:space="preserve">0521107, модель № двигателя 1186*6650461, цвет </w:t>
            </w:r>
            <w:bookmarkEnd w:id="1"/>
            <w:r w:rsidRPr="00E41566">
              <w:rPr>
                <w:sz w:val="22"/>
                <w:szCs w:val="22"/>
              </w:rPr>
              <w:t>золотисто коричневый</w:t>
            </w:r>
          </w:p>
        </w:tc>
        <w:tc>
          <w:tcPr>
            <w:tcW w:w="2552" w:type="dxa"/>
          </w:tcPr>
          <w:p w:rsidR="000E03A0" w:rsidRPr="00E41566" w:rsidRDefault="000E03A0" w:rsidP="00D423D3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156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Start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41566">
              <w:rPr>
                <w:rFonts w:ascii="Times New Roman" w:hAnsi="Times New Roman" w:cs="Times New Roman"/>
                <w:sz w:val="24"/>
                <w:szCs w:val="24"/>
              </w:rPr>
              <w:t>. Центральная д. 13</w:t>
            </w:r>
          </w:p>
        </w:tc>
        <w:tc>
          <w:tcPr>
            <w:tcW w:w="2409" w:type="dxa"/>
          </w:tcPr>
          <w:p w:rsidR="000E03A0" w:rsidRPr="00E41566" w:rsidRDefault="000E03A0" w:rsidP="00D423D3">
            <w:pPr>
              <w:rPr>
                <w:sz w:val="24"/>
                <w:szCs w:val="24"/>
              </w:rPr>
            </w:pPr>
            <w:r w:rsidRPr="00E41566">
              <w:rPr>
                <w:sz w:val="24"/>
                <w:szCs w:val="24"/>
              </w:rPr>
              <w:t>294920,00</w:t>
            </w:r>
          </w:p>
        </w:tc>
      </w:tr>
    </w:tbl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Перечень не является окончательным и может дополняться по мере оптимизация структуры муниципальной собственности.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 xml:space="preserve">Приватизация объектов недвижимого имущества  из перечня осуществляется одновременно с отчуждением лицу, приобретающему такое </w:t>
      </w:r>
      <w:r w:rsidRPr="00E41566">
        <w:rPr>
          <w:rFonts w:ascii="Times New Roman" w:hAnsi="Times New Roman" w:cs="Times New Roman"/>
          <w:sz w:val="28"/>
          <w:szCs w:val="28"/>
          <w:lang w:val="ru-RU"/>
        </w:rPr>
        <w:lastRenderedPageBreak/>
        <w:t>имущество, земельных участков, занимаемых таким имуществом и необходимых для его использования.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3A0" w:rsidRPr="00E41566" w:rsidRDefault="000E03A0" w:rsidP="000E0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66">
        <w:rPr>
          <w:rFonts w:ascii="Times New Roman" w:hAnsi="Times New Roman" w:cs="Times New Roman"/>
          <w:b/>
          <w:sz w:val="28"/>
          <w:szCs w:val="28"/>
        </w:rPr>
        <w:t>3.   Основные мероприятия по реализации плана приватизации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В целях реализации плана приватизации предусматривается проведение следующих мероприятий: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определение цены подлежащего приватизации муниципального</w:t>
      </w:r>
      <w:r w:rsidRPr="00E41566">
        <w:rPr>
          <w:rFonts w:ascii="Times New Roman" w:hAnsi="Times New Roman" w:cs="Times New Roman"/>
          <w:sz w:val="28"/>
          <w:szCs w:val="28"/>
        </w:rPr>
        <w:t> </w:t>
      </w:r>
      <w:r w:rsidRPr="00E41566">
        <w:rPr>
          <w:rFonts w:ascii="Times New Roman" w:hAnsi="Times New Roman" w:cs="Times New Roman"/>
          <w:sz w:val="28"/>
          <w:szCs w:val="28"/>
          <w:lang w:val="ru-RU"/>
        </w:rPr>
        <w:t>имущества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аукционов по продаже муниципального имущества;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собственнику.</w:t>
      </w:r>
    </w:p>
    <w:p w:rsidR="000E03A0" w:rsidRPr="00E41566" w:rsidRDefault="000E03A0" w:rsidP="000E03A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 xml:space="preserve">            Выполнение вышеуказанных  мероприятий осуществляется после поступления от заинтересованных лиц обращения о намерении приобретения имущества, включенного в перечень объектов  муниципальной собственности Каменского сельского поселения </w:t>
      </w:r>
      <w:proofErr w:type="spellStart"/>
      <w:r w:rsidRPr="00E41566">
        <w:rPr>
          <w:rFonts w:ascii="Times New Roman" w:hAnsi="Times New Roman" w:cs="Times New Roman"/>
          <w:sz w:val="28"/>
          <w:szCs w:val="28"/>
          <w:lang w:val="ru-RU"/>
        </w:rPr>
        <w:t>Кардымовского</w:t>
      </w:r>
      <w:proofErr w:type="spellEnd"/>
      <w:r w:rsidRPr="00E41566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области, подлежащего приватизации в 2024 году.</w:t>
      </w:r>
    </w:p>
    <w:p w:rsidR="000E03A0" w:rsidRPr="00E41566" w:rsidRDefault="000E03A0" w:rsidP="000E03A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3A0" w:rsidRPr="00E41566" w:rsidRDefault="000E03A0" w:rsidP="000E03A0">
      <w:pPr>
        <w:jc w:val="both"/>
        <w:rPr>
          <w:sz w:val="28"/>
          <w:szCs w:val="28"/>
        </w:rPr>
      </w:pPr>
    </w:p>
    <w:p w:rsidR="000E03A0" w:rsidRPr="00E41566" w:rsidRDefault="000E03A0" w:rsidP="000E03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3A0" w:rsidRPr="00E41566" w:rsidRDefault="000E03A0" w:rsidP="000E03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3A0" w:rsidRPr="00E41566" w:rsidRDefault="000E03A0" w:rsidP="000E03A0">
      <w:pPr>
        <w:rPr>
          <w:sz w:val="28"/>
          <w:szCs w:val="28"/>
        </w:rPr>
      </w:pPr>
    </w:p>
    <w:p w:rsidR="000E03A0" w:rsidRPr="00E41566" w:rsidRDefault="000E03A0" w:rsidP="000E03A0">
      <w:pPr>
        <w:pStyle w:val="ConsNonformat"/>
        <w:spacing w:line="240" w:lineRule="atLeast"/>
        <w:ind w:left="-24" w:right="0" w:firstLine="24"/>
        <w:rPr>
          <w:rFonts w:ascii="Times New Roman" w:hAnsi="Times New Roman" w:cs="Times New Roman"/>
          <w:b/>
          <w:sz w:val="28"/>
          <w:szCs w:val="28"/>
        </w:rPr>
      </w:pPr>
    </w:p>
    <w:p w:rsidR="000E03A0" w:rsidRPr="00E41566" w:rsidRDefault="000E03A0" w:rsidP="000E03A0">
      <w:pPr>
        <w:pStyle w:val="ConsNonformat"/>
        <w:spacing w:line="240" w:lineRule="atLeast"/>
        <w:ind w:left="-24" w:right="0" w:firstLine="24"/>
        <w:rPr>
          <w:rFonts w:ascii="Times New Roman" w:hAnsi="Times New Roman" w:cs="Times New Roman"/>
          <w:b/>
          <w:sz w:val="28"/>
          <w:szCs w:val="28"/>
        </w:rPr>
      </w:pPr>
    </w:p>
    <w:p w:rsidR="000E03A0" w:rsidRPr="00E41566" w:rsidRDefault="000E03A0" w:rsidP="000E03A0">
      <w:pPr>
        <w:pStyle w:val="ConsNonformat"/>
        <w:spacing w:line="240" w:lineRule="atLeast"/>
        <w:ind w:left="-24" w:right="0" w:firstLine="24"/>
        <w:rPr>
          <w:rFonts w:ascii="Times New Roman" w:hAnsi="Times New Roman" w:cs="Times New Roman"/>
          <w:b/>
          <w:sz w:val="28"/>
          <w:szCs w:val="28"/>
        </w:rPr>
      </w:pPr>
    </w:p>
    <w:p w:rsidR="000E03A0" w:rsidRPr="00E41566" w:rsidRDefault="000E03A0" w:rsidP="000E03A0">
      <w:pPr>
        <w:pStyle w:val="ConsNonformat"/>
        <w:spacing w:line="240" w:lineRule="atLeast"/>
        <w:ind w:left="-24" w:right="0" w:firstLine="24"/>
        <w:rPr>
          <w:rFonts w:ascii="Times New Roman" w:hAnsi="Times New Roman" w:cs="Times New Roman"/>
          <w:b/>
          <w:sz w:val="28"/>
          <w:szCs w:val="28"/>
        </w:rPr>
      </w:pPr>
    </w:p>
    <w:p w:rsidR="000E03A0" w:rsidRDefault="000E03A0" w:rsidP="000E03A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D1955" w:rsidRDefault="00DD1955"/>
    <w:sectPr w:rsidR="00D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C3"/>
    <w:rsid w:val="000E03A0"/>
    <w:rsid w:val="00B646C3"/>
    <w:rsid w:val="00D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3A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3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E03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E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3A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0E03A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 w:bidi="en-US"/>
    </w:rPr>
  </w:style>
  <w:style w:type="character" w:styleId="a5">
    <w:name w:val="Strong"/>
    <w:basedOn w:val="a0"/>
    <w:uiPriority w:val="22"/>
    <w:qFormat/>
    <w:rsid w:val="000E03A0"/>
    <w:rPr>
      <w:b/>
      <w:bCs/>
    </w:rPr>
  </w:style>
  <w:style w:type="paragraph" w:customStyle="1" w:styleId="ConsTitle">
    <w:name w:val="ConsTitle"/>
    <w:rsid w:val="000E0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3A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3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E03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E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3A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0E03A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 w:bidi="en-US"/>
    </w:rPr>
  </w:style>
  <w:style w:type="character" w:styleId="a5">
    <w:name w:val="Strong"/>
    <w:basedOn w:val="a0"/>
    <w:uiPriority w:val="22"/>
    <w:qFormat/>
    <w:rsid w:val="000E03A0"/>
    <w:rPr>
      <w:b/>
      <w:bCs/>
    </w:rPr>
  </w:style>
  <w:style w:type="paragraph" w:customStyle="1" w:styleId="ConsTitle">
    <w:name w:val="ConsTitle"/>
    <w:rsid w:val="000E03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>*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2024-04-04T12:21:00Z</dcterms:created>
  <dcterms:modified xsi:type="dcterms:W3CDTF">2024-04-04T12:22:00Z</dcterms:modified>
</cp:coreProperties>
</file>